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639"/>
        </w:tabs>
        <w:spacing w:after="0"/>
        <w:rPr>
          <w:b/>
          <w:i/>
          <w:sz w:val="28"/>
        </w:rPr>
      </w:pPr>
      <w:r>
        <w:rPr>
          <w:b/>
          <w:sz w:val="24"/>
        </w:rPr>
        <w:t>3GPP TSG-CT WG1 Meeting #137</w:t>
      </w:r>
      <w:r>
        <w:rPr>
          <w:b/>
          <w:sz w:val="24"/>
          <w:lang w:val="hr-HR"/>
        </w:rPr>
        <w:t>-</w:t>
      </w:r>
      <w:r>
        <w:rPr>
          <w:b/>
          <w:sz w:val="24"/>
        </w:rPr>
        <w:t>e</w:t>
      </w:r>
      <w:r>
        <w:rPr>
          <w:b/>
          <w:i/>
          <w:sz w:val="28"/>
        </w:rPr>
        <w:tab/>
      </w:r>
      <w:r>
        <w:rPr>
          <w:b/>
          <w:sz w:val="24"/>
        </w:rPr>
        <w:t>C1-22</w:t>
      </w:r>
      <w:r>
        <w:rPr>
          <w:rFonts w:hint="eastAsia"/>
          <w:b/>
          <w:sz w:val="24"/>
          <w:lang w:val="en-US" w:eastAsia="zh-CN"/>
        </w:rPr>
        <w:t>4831</w:t>
      </w:r>
    </w:p>
    <w:p>
      <w:pPr>
        <w:pStyle w:val="18"/>
        <w:outlineLvl w:val="0"/>
        <w:rPr>
          <w:b/>
          <w:sz w:val="24"/>
        </w:rPr>
      </w:pPr>
      <w:r>
        <w:rPr>
          <w:b/>
          <w:sz w:val="24"/>
        </w:rPr>
        <w:t>E-Meeting, 18</w:t>
      </w:r>
      <w:r>
        <w:rPr>
          <w:b/>
          <w:sz w:val="24"/>
          <w:vertAlign w:val="superscript"/>
        </w:rPr>
        <w:t>th</w:t>
      </w:r>
      <w:r>
        <w:rPr>
          <w:b/>
          <w:sz w:val="24"/>
        </w:rPr>
        <w:t xml:space="preserve"> – 26</w:t>
      </w:r>
      <w:r>
        <w:rPr>
          <w:b/>
          <w:sz w:val="24"/>
          <w:vertAlign w:val="superscript"/>
        </w:rPr>
        <w:t>th</w:t>
      </w:r>
      <w:r>
        <w:rPr>
          <w:b/>
          <w:sz w:val="24"/>
        </w:rPr>
        <w:t xml:space="preserve"> August 2022</w:t>
      </w:r>
    </w:p>
    <w:p>
      <w:pPr>
        <w:spacing w:after="120"/>
        <w:ind w:left="1985" w:hanging="1985"/>
        <w:rPr>
          <w:rFonts w:ascii="Arial" w:hAnsi="Arial" w:cs="Arial"/>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ZTE</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rPr>
        <w:t>Discussion on non-IP data transport over PC5</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hint="eastAsia" w:ascii="Arial" w:hAnsi="Arial" w:cs="Arial"/>
          <w:b/>
          <w:bCs/>
          <w:lang w:val="en-US" w:eastAsia="zh-CN"/>
        </w:rPr>
        <w:t>17.2.18</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Discussion and decision</w:t>
      </w:r>
    </w:p>
    <w:p>
      <w:pPr>
        <w:pBdr>
          <w:bottom w:val="single" w:color="auto" w:sz="4" w:space="1"/>
        </w:pBdr>
        <w:rPr>
          <w:rFonts w:ascii="Arial" w:hAnsi="Arial" w:cs="Arial"/>
          <w:b/>
          <w:bCs/>
          <w:lang w:eastAsia="zh-CN"/>
        </w:rPr>
      </w:pPr>
    </w:p>
    <w:p>
      <w:pPr>
        <w:pStyle w:val="2"/>
        <w:rPr>
          <w:lang w:eastAsia="zh-CN"/>
        </w:rPr>
      </w:pPr>
      <w:r>
        <w:rPr>
          <w:rFonts w:hint="eastAsia"/>
          <w:lang w:eastAsia="zh-CN"/>
        </w:rPr>
        <w:t>1</w:t>
      </w:r>
      <w:r>
        <w:rPr>
          <w:lang w:eastAsia="zh-CN"/>
        </w:rPr>
        <w:t>.</w:t>
      </w:r>
      <w:r>
        <w:rPr>
          <w:lang w:eastAsia="zh-CN"/>
        </w:rPr>
        <w:tab/>
      </w:r>
      <w:r>
        <w:rPr>
          <w:lang w:eastAsia="zh-CN"/>
        </w:rPr>
        <w:t>Introduction</w:t>
      </w:r>
    </w:p>
    <w:p>
      <w:pPr>
        <w:spacing w:after="240"/>
        <w:rPr>
          <w:lang w:eastAsia="zh-CN"/>
        </w:rPr>
      </w:pPr>
      <w:r>
        <w:rPr>
          <w:rFonts w:hint="eastAsia"/>
          <w:lang w:eastAsia="zh-CN"/>
        </w:rPr>
        <w:t>T</w:t>
      </w:r>
      <w:r>
        <w:rPr>
          <w:lang w:eastAsia="zh-CN"/>
        </w:rPr>
        <w:t xml:space="preserve">his discussion paper analyses the </w:t>
      </w:r>
      <w:r>
        <w:t>non-IP PDU (as defined in clause 11.5 of TS 24.554) for non-IP data transport between over PC5 and gives justifications that the non-IP type field is not needed. In another word, it is unnecessary to specifically design the non-IP PDU format.</w:t>
      </w:r>
    </w:p>
    <w:p>
      <w:pPr>
        <w:pStyle w:val="2"/>
        <w:rPr>
          <w:lang w:eastAsia="zh-CN"/>
        </w:rPr>
      </w:pPr>
      <w:r>
        <w:rPr>
          <w:lang w:eastAsia="zh-CN"/>
        </w:rPr>
        <w:t>2.</w:t>
      </w:r>
      <w:r>
        <w:rPr>
          <w:lang w:eastAsia="zh-CN"/>
        </w:rPr>
        <w:tab/>
      </w:r>
      <w:r>
        <w:rPr>
          <w:lang w:eastAsia="zh-CN"/>
        </w:rPr>
        <w:t>Discussion</w:t>
      </w:r>
    </w:p>
    <w:p>
      <w:pPr>
        <w:pStyle w:val="21"/>
        <w:rPr>
          <w:rFonts w:eastAsia="宋体"/>
          <w:lang w:eastAsia="zh-CN"/>
        </w:rPr>
      </w:pPr>
      <w:bookmarkStart w:id="0" w:name="_MON_1680854417"/>
      <w:bookmarkEnd w:id="0"/>
      <w:r>
        <w:rPr>
          <w:rFonts w:eastAsia="宋体"/>
          <w:lang w:eastAsia="zh-CN"/>
        </w:rPr>
        <w:object>
          <v:shape id="_x0000_i1025" o:spt="75" type="#_x0000_t75" style="height:264.5pt;width:204.5pt;" o:ole="t" filled="f" o:preferrelative="t" stroked="f" coordsize="21600,21600">
            <v:path/>
            <v:fill on="f" focussize="0,0"/>
            <v:stroke on="f" joinstyle="miter"/>
            <v:imagedata r:id="rId5" o:title=""/>
            <o:lock v:ext="edit" aspectratio="t"/>
            <w10:wrap type="none"/>
            <w10:anchorlock/>
          </v:shape>
          <o:OLEObject Type="Embed" ProgID="Word.Document.12" ShapeID="_x0000_i1025" DrawAspect="Content" ObjectID="_1468075725" r:id="rId4">
            <o:LockedField>false</o:LockedField>
          </o:OLEObject>
        </w:object>
      </w:r>
    </w:p>
    <w:p>
      <w:pPr>
        <w:pStyle w:val="20"/>
        <w:rPr>
          <w:b/>
        </w:rPr>
      </w:pPr>
      <w:r>
        <w:rPr>
          <w:b/>
        </w:rPr>
        <w:t>Legend:</w:t>
      </w:r>
    </w:p>
    <w:p>
      <w:pPr>
        <w:pStyle w:val="20"/>
        <w:rPr>
          <w:lang w:eastAsia="zh-CN"/>
        </w:rPr>
      </w:pPr>
      <w:r>
        <w:rPr>
          <w:lang w:eastAsia="zh-CN"/>
        </w:rPr>
        <w:t>-</w:t>
      </w:r>
      <w:r>
        <w:rPr>
          <w:lang w:eastAsia="zh-CN"/>
        </w:rPr>
        <w:tab/>
      </w:r>
      <w:r>
        <w:rPr>
          <w:b/>
        </w:rPr>
        <w:t>PC5-U:</w:t>
      </w:r>
      <w:r>
        <w:t xml:space="preserve"> The </w:t>
      </w:r>
      <w:r>
        <w:rPr>
          <w:lang w:eastAsia="zh-CN"/>
        </w:rPr>
        <w:t>SDAP/</w:t>
      </w:r>
      <w:r>
        <w:t>PDCP/RLC/MAC/PHY functionality is specified in TS 3</w:t>
      </w:r>
      <w:r>
        <w:rPr>
          <w:lang w:eastAsia="zh-CN"/>
        </w:rPr>
        <w:t>8</w:t>
      </w:r>
      <w:r>
        <w:t>.300 [</w:t>
      </w:r>
      <w:r>
        <w:rPr>
          <w:lang w:eastAsia="zh-CN"/>
        </w:rPr>
        <w:t>12</w:t>
      </w:r>
      <w:r>
        <w:t>]</w:t>
      </w:r>
      <w:r>
        <w:rPr>
          <w:lang w:eastAsia="zh-CN"/>
        </w:rPr>
        <w:t>.</w:t>
      </w:r>
    </w:p>
    <w:p>
      <w:pPr>
        <w:pStyle w:val="20"/>
        <w:rPr>
          <w:lang w:eastAsia="zh-CN"/>
        </w:rPr>
      </w:pPr>
    </w:p>
    <w:p>
      <w:pPr>
        <w:pStyle w:val="22"/>
        <w:overflowPunct w:val="0"/>
        <w:autoSpaceDE w:val="0"/>
        <w:autoSpaceDN w:val="0"/>
        <w:adjustRightInd w:val="0"/>
        <w:textAlignment w:val="baseline"/>
      </w:pPr>
      <w:r>
        <w:t>Figure 2-1: User Plane for NR PC5 reference point</w:t>
      </w:r>
    </w:p>
    <w:p>
      <w:pPr>
        <w:rPr>
          <w:lang w:eastAsia="zh-CN"/>
        </w:rPr>
      </w:pPr>
      <w:r>
        <w:rPr>
          <w:lang w:eastAsia="zh-CN"/>
        </w:rPr>
        <w:t>IP,</w:t>
      </w:r>
      <w:r>
        <w:rPr>
          <w:rFonts w:eastAsia="宋体"/>
          <w:lang w:eastAsia="ko-KR"/>
        </w:rPr>
        <w:t xml:space="preserve"> </w:t>
      </w:r>
      <w:r>
        <w:rPr>
          <w:lang w:eastAsia="zh-CN"/>
        </w:rPr>
        <w:t xml:space="preserve">Ethernet and Unstructured PDCP SDU types are supported. For </w:t>
      </w:r>
      <w:r>
        <w:rPr>
          <w:rFonts w:eastAsia="宋体"/>
          <w:lang w:eastAsia="ko-KR"/>
        </w:rPr>
        <w:t xml:space="preserve">IP PDCP SDU type, both </w:t>
      </w:r>
      <w:r>
        <w:rPr>
          <w:lang w:eastAsia="zh-CN"/>
        </w:rPr>
        <w:t xml:space="preserve">IPv4 and </w:t>
      </w:r>
      <w:r>
        <w:rPr>
          <w:rFonts w:eastAsia="宋体"/>
          <w:lang w:eastAsia="ko-KR"/>
        </w:rPr>
        <w:t>IPv6 are supported.</w:t>
      </w:r>
    </w:p>
    <w:p>
      <w:pPr>
        <w:rPr>
          <w:rFonts w:eastAsia="宋体"/>
          <w:lang w:eastAsia="ko-KR"/>
        </w:rPr>
      </w:pPr>
      <w:r>
        <w:rPr>
          <w:rFonts w:eastAsia="宋体"/>
          <w:lang w:eastAsia="ko-KR"/>
        </w:rPr>
        <w:t>The packets from ProSe application layer are handled by the ProSe layer before transmitting them to the AS layer, e.g. ProSe layer maps the IP</w:t>
      </w:r>
      <w:r>
        <w:rPr>
          <w:lang w:eastAsia="zh-CN"/>
        </w:rPr>
        <w:t>,</w:t>
      </w:r>
      <w:r>
        <w:rPr>
          <w:rFonts w:eastAsia="宋体"/>
          <w:lang w:eastAsia="ko-KR"/>
        </w:rPr>
        <w:t xml:space="preserve"> </w:t>
      </w:r>
      <w:r>
        <w:rPr>
          <w:lang w:eastAsia="zh-CN"/>
        </w:rPr>
        <w:t>Ethernet and Unstructured</w:t>
      </w:r>
      <w:r>
        <w:rPr>
          <w:rFonts w:eastAsia="宋体"/>
          <w:lang w:eastAsia="ko-KR"/>
        </w:rPr>
        <w:t xml:space="preserve"> packets to PC5 QoS Flow and marks the corresponding PFI.</w:t>
      </w:r>
    </w:p>
    <w:p>
      <w:pPr>
        <w:rPr>
          <w:i/>
        </w:rPr>
      </w:pPr>
    </w:p>
    <w:p>
      <w:pPr>
        <w:spacing w:after="240"/>
        <w:rPr>
          <w:rFonts w:hint="eastAsia"/>
          <w:lang w:val="en-US" w:eastAsia="zh-CN"/>
        </w:rPr>
      </w:pPr>
      <w:r>
        <w:rPr>
          <w:b/>
          <w:lang w:eastAsia="zh-CN"/>
        </w:rPr>
        <w:t>Observation 1</w:t>
      </w:r>
      <w:r>
        <w:rPr>
          <w:lang w:eastAsia="zh-CN"/>
        </w:rPr>
        <w:t xml:space="preserve">: </w:t>
      </w:r>
      <w:r>
        <w:rPr>
          <w:b/>
          <w:i/>
          <w:lang w:eastAsia="zh-CN"/>
        </w:rPr>
        <w:t>Based on the above excerpting from clause</w:t>
      </w:r>
      <w:r>
        <w:rPr>
          <w:b/>
          <w:i/>
          <w:lang w:val="en-US" w:eastAsia="zh-CN"/>
        </w:rPr>
        <w:t> 6.1.2.2 of TS 23.304, the packets from ProSe application layer to be handled by the ProSe layer have already been constructed as IP packet, Ethernet frame, ARP, or Unstructured packet which is done by the upper layer.</w:t>
      </w:r>
    </w:p>
    <w:p>
      <w:pPr>
        <w:overflowPunct w:val="0"/>
        <w:autoSpaceDE w:val="0"/>
        <w:autoSpaceDN w:val="0"/>
        <w:adjustRightInd w:val="0"/>
        <w:spacing w:after="180"/>
        <w:textAlignment w:val="baseline"/>
        <w:rPr>
          <w:rFonts w:eastAsia="Times New Roman"/>
          <w:lang w:eastAsia="zh-CN"/>
        </w:rPr>
      </w:pPr>
      <w:r>
        <w:rPr>
          <w:rFonts w:eastAsia="Times New Roman"/>
          <w:lang w:eastAsia="zh-CN"/>
        </w:rPr>
        <w:t>As specified in clause</w:t>
      </w:r>
      <w:r>
        <w:rPr>
          <w:rFonts w:eastAsia="Times New Roman"/>
          <w:lang w:val="en-US" w:eastAsia="zh-CN"/>
        </w:rPr>
        <w:t xml:space="preserve"> 7.2.9 of </w:t>
      </w:r>
      <w:r>
        <w:rPr>
          <w:rFonts w:eastAsia="Times New Roman"/>
          <w:lang w:eastAsia="zh-CN"/>
        </w:rPr>
        <w:t>TS</w:t>
      </w:r>
      <w:r>
        <w:rPr>
          <w:rFonts w:eastAsia="Times New Roman"/>
          <w:lang w:val="en-US" w:eastAsia="zh-CN"/>
        </w:rPr>
        <w:t> 24.554, w</w:t>
      </w:r>
      <w:r>
        <w:rPr>
          <w:rFonts w:eastAsia="Times New Roman"/>
          <w:lang w:eastAsia="zh-CN"/>
        </w:rPr>
        <w:t xml:space="preserve">hen receiving user data from upper layers to be sent over 5G ProSe direct link to a specific UE, the transmitting UE shall determine the 5G ProSe direct link context corresponding to the application layer ID and then shall </w:t>
      </w:r>
      <w:r>
        <w:rPr>
          <w:rFonts w:eastAsia="Times New Roman"/>
          <w:b/>
          <w:highlight w:val="yellow"/>
          <w:lang w:eastAsia="zh-CN"/>
        </w:rPr>
        <w:t>tag</w:t>
      </w:r>
      <w:r>
        <w:rPr>
          <w:rFonts w:eastAsia="Times New Roman"/>
          <w:highlight w:val="yellow"/>
          <w:lang w:eastAsia="zh-CN"/>
        </w:rPr>
        <w:t xml:space="preserve"> each outgoing protocol data unit with the following information before passing it to the lower layers for transmission</w:t>
      </w:r>
      <w:r>
        <w:rPr>
          <w:rFonts w:eastAsia="Times New Roman"/>
          <w:lang w:eastAsia="zh-CN"/>
        </w:rPr>
        <w:t>:</w:t>
      </w:r>
    </w:p>
    <w:p>
      <w:pPr>
        <w:overflowPunct w:val="0"/>
        <w:autoSpaceDE w:val="0"/>
        <w:autoSpaceDN w:val="0"/>
        <w:adjustRightInd w:val="0"/>
        <w:spacing w:after="180"/>
        <w:ind w:left="568" w:hanging="284"/>
        <w:textAlignment w:val="baseline"/>
        <w:rPr>
          <w:rFonts w:eastAsia="Times New Roman"/>
          <w:lang w:eastAsia="en-GB"/>
        </w:rPr>
      </w:pPr>
      <w:r>
        <w:rPr>
          <w:rFonts w:eastAsia="Times New Roman"/>
          <w:lang w:eastAsia="en-GB"/>
        </w:rPr>
        <w:t>a)</w:t>
      </w:r>
      <w:r>
        <w:rPr>
          <w:rFonts w:eastAsia="Times New Roman"/>
          <w:lang w:eastAsia="en-GB"/>
        </w:rPr>
        <w:tab/>
      </w:r>
      <w:r>
        <w:rPr>
          <w:rFonts w:eastAsia="Times New Roman"/>
          <w:highlight w:val="yellow"/>
          <w:lang w:eastAsia="en-GB"/>
        </w:rPr>
        <w:t>a layer-3 protocol data unit type</w:t>
      </w:r>
      <w:r>
        <w:rPr>
          <w:rFonts w:eastAsia="Times New Roman"/>
          <w:lang w:eastAsia="en-GB"/>
        </w:rPr>
        <w:t xml:space="preserve"> (see 3GPP TS 38.323 [16]) set to:</w:t>
      </w:r>
    </w:p>
    <w:p>
      <w:pPr>
        <w:overflowPunct w:val="0"/>
        <w:autoSpaceDE w:val="0"/>
        <w:autoSpaceDN w:val="0"/>
        <w:adjustRightInd w:val="0"/>
        <w:spacing w:after="180"/>
        <w:ind w:left="851" w:hanging="284"/>
        <w:textAlignment w:val="baseline"/>
        <w:rPr>
          <w:rFonts w:eastAsia="Times New Roman"/>
          <w:lang w:eastAsia="en-GB"/>
        </w:rPr>
      </w:pPr>
      <w:r>
        <w:rPr>
          <w:rFonts w:eastAsia="Times New Roman"/>
          <w:lang w:eastAsia="en-GB"/>
        </w:rPr>
        <w:t>1)</w:t>
      </w:r>
      <w:r>
        <w:rPr>
          <w:rFonts w:eastAsia="Times New Roman"/>
          <w:lang w:eastAsia="en-GB"/>
        </w:rPr>
        <w:tab/>
      </w:r>
      <w:r>
        <w:rPr>
          <w:rFonts w:eastAsia="Times New Roman"/>
          <w:lang w:eastAsia="en-GB"/>
        </w:rPr>
        <w:t>IP packet, if the ProSe message contains IP data; or</w:t>
      </w:r>
    </w:p>
    <w:p>
      <w:pPr>
        <w:overflowPunct w:val="0"/>
        <w:autoSpaceDE w:val="0"/>
        <w:autoSpaceDN w:val="0"/>
        <w:adjustRightInd w:val="0"/>
        <w:spacing w:after="180"/>
        <w:ind w:left="851" w:hanging="284"/>
        <w:textAlignment w:val="baseline"/>
        <w:rPr>
          <w:rFonts w:eastAsia="Times New Roman"/>
          <w:lang w:eastAsia="en-GB"/>
        </w:rPr>
      </w:pPr>
      <w:r>
        <w:rPr>
          <w:rFonts w:eastAsia="Times New Roman"/>
          <w:lang w:eastAsia="en-GB"/>
        </w:rPr>
        <w:t>2)</w:t>
      </w:r>
      <w:r>
        <w:rPr>
          <w:rFonts w:eastAsia="Times New Roman"/>
          <w:lang w:eastAsia="en-GB"/>
        </w:rPr>
        <w:tab/>
      </w:r>
      <w:r>
        <w:rPr>
          <w:rFonts w:eastAsia="Times New Roman"/>
          <w:lang w:eastAsia="en-GB"/>
        </w:rPr>
        <w:t>non-IP packet, if the ProSe message contains Ethernet or Unstructured data unit types;</w:t>
      </w:r>
    </w:p>
    <w:p>
      <w:pPr>
        <w:overflowPunct w:val="0"/>
        <w:autoSpaceDE w:val="0"/>
        <w:autoSpaceDN w:val="0"/>
        <w:adjustRightInd w:val="0"/>
        <w:spacing w:after="180"/>
        <w:ind w:left="568" w:hanging="284"/>
        <w:textAlignment w:val="baseline"/>
        <w:rPr>
          <w:rFonts w:eastAsia="Times New Roman"/>
          <w:lang w:eastAsia="en-GB"/>
        </w:rPr>
      </w:pPr>
      <w:r>
        <w:rPr>
          <w:rFonts w:eastAsia="Times New Roman"/>
          <w:lang w:eastAsia="en-GB"/>
        </w:rPr>
        <w:t>b)</w:t>
      </w:r>
      <w:r>
        <w:rPr>
          <w:rFonts w:eastAsia="Times New Roman"/>
          <w:lang w:eastAsia="en-GB"/>
        </w:rPr>
        <w:tab/>
      </w:r>
      <w:r>
        <w:rPr>
          <w:rFonts w:eastAsia="Times New Roman"/>
          <w:lang w:eastAsia="en-GB"/>
        </w:rPr>
        <w:t xml:space="preserve">the PC5 link identifier associated with the </w:t>
      </w:r>
      <w:r>
        <w:rPr>
          <w:rFonts w:eastAsia="Times New Roman"/>
          <w:lang w:eastAsia="zh-CN"/>
        </w:rPr>
        <w:t>5G ProSe direct</w:t>
      </w:r>
      <w:r>
        <w:rPr>
          <w:rFonts w:eastAsia="Times New Roman"/>
          <w:lang w:eastAsia="en-GB"/>
        </w:rPr>
        <w:t xml:space="preserve"> link context;</w:t>
      </w:r>
    </w:p>
    <w:p>
      <w:pPr>
        <w:overflowPunct w:val="0"/>
        <w:autoSpaceDE w:val="0"/>
        <w:autoSpaceDN w:val="0"/>
        <w:adjustRightInd w:val="0"/>
        <w:spacing w:after="180"/>
        <w:ind w:left="568" w:hanging="284"/>
        <w:textAlignment w:val="baseline"/>
        <w:rPr>
          <w:rFonts w:eastAsia="Times New Roman"/>
          <w:lang w:eastAsia="en-GB"/>
        </w:rPr>
      </w:pPr>
      <w:r>
        <w:rPr>
          <w:rFonts w:eastAsia="Times New Roman"/>
          <w:lang w:eastAsia="en-GB"/>
        </w:rPr>
        <w:t>c)</w:t>
      </w:r>
      <w:r>
        <w:rPr>
          <w:rFonts w:eastAsia="Times New Roman"/>
          <w:lang w:eastAsia="en-GB"/>
        </w:rPr>
        <w:tab/>
      </w:r>
      <w:r>
        <w:rPr>
          <w:rFonts w:eastAsia="Times New Roman"/>
          <w:lang w:eastAsia="en-GB"/>
        </w:rPr>
        <w:t xml:space="preserve">optionally, the source layer-2 ID set to the source layer-2 ID associated with the </w:t>
      </w:r>
      <w:r>
        <w:rPr>
          <w:rFonts w:eastAsia="Times New Roman"/>
          <w:lang w:eastAsia="zh-CN"/>
        </w:rPr>
        <w:t>5G ProSe direct</w:t>
      </w:r>
      <w:r>
        <w:rPr>
          <w:rFonts w:eastAsia="Times New Roman"/>
          <w:lang w:eastAsia="en-GB"/>
        </w:rPr>
        <w:t xml:space="preserve"> link context;</w:t>
      </w:r>
    </w:p>
    <w:p>
      <w:pPr>
        <w:overflowPunct w:val="0"/>
        <w:autoSpaceDE w:val="0"/>
        <w:autoSpaceDN w:val="0"/>
        <w:adjustRightInd w:val="0"/>
        <w:spacing w:after="180"/>
        <w:ind w:left="568" w:hanging="284"/>
        <w:textAlignment w:val="baseline"/>
        <w:rPr>
          <w:rFonts w:eastAsia="Times New Roman"/>
          <w:lang w:eastAsia="en-GB"/>
        </w:rPr>
      </w:pPr>
      <w:r>
        <w:rPr>
          <w:rFonts w:eastAsia="Times New Roman"/>
          <w:lang w:eastAsia="en-GB"/>
        </w:rPr>
        <w:t>d)</w:t>
      </w:r>
      <w:r>
        <w:rPr>
          <w:rFonts w:eastAsia="Times New Roman"/>
          <w:lang w:eastAsia="en-GB"/>
        </w:rPr>
        <w:tab/>
      </w:r>
      <w:r>
        <w:rPr>
          <w:rFonts w:eastAsia="Times New Roman"/>
          <w:lang w:eastAsia="en-GB"/>
        </w:rPr>
        <w:t xml:space="preserve">optionally, the destination layer-2 ID set to the destination layer-2 ID associated with the </w:t>
      </w:r>
      <w:r>
        <w:rPr>
          <w:rFonts w:eastAsia="Times New Roman"/>
          <w:lang w:eastAsia="zh-CN"/>
        </w:rPr>
        <w:t>5G ProSe direct</w:t>
      </w:r>
      <w:r>
        <w:rPr>
          <w:rFonts w:eastAsia="Times New Roman"/>
          <w:lang w:eastAsia="en-GB"/>
        </w:rPr>
        <w:t xml:space="preserve"> link context; and</w:t>
      </w:r>
    </w:p>
    <w:p>
      <w:pPr>
        <w:overflowPunct w:val="0"/>
        <w:autoSpaceDE w:val="0"/>
        <w:autoSpaceDN w:val="0"/>
        <w:adjustRightInd w:val="0"/>
        <w:spacing w:after="180"/>
        <w:ind w:left="568" w:hanging="284"/>
        <w:textAlignment w:val="baseline"/>
        <w:rPr>
          <w:rFonts w:eastAsia="Times New Roman"/>
          <w:lang w:eastAsia="en-GB"/>
        </w:rPr>
      </w:pPr>
      <w:r>
        <w:rPr>
          <w:rFonts w:eastAsia="Times New Roman"/>
          <w:lang w:eastAsia="en-GB"/>
        </w:rPr>
        <w:t>e)</w:t>
      </w:r>
      <w:r>
        <w:rPr>
          <w:rFonts w:eastAsia="Times New Roman"/>
          <w:lang w:eastAsia="en-GB"/>
        </w:rPr>
        <w:tab/>
      </w:r>
      <w:r>
        <w:rPr>
          <w:rFonts w:eastAsia="Times New Roman"/>
          <w:lang w:eastAsia="en-GB"/>
        </w:rPr>
        <w:t>the PQFI set to the value corresponding to the ProSe identifier and the optional ProSe application requirements according to the mapping rules specified in clause 5.2.4.</w:t>
      </w:r>
    </w:p>
    <w:p>
      <w:pPr>
        <w:rPr>
          <w:lang w:eastAsia="zh-CN"/>
        </w:rPr>
      </w:pPr>
      <w:r>
        <w:rPr>
          <w:lang w:eastAsia="zh-CN"/>
        </w:rPr>
        <w:t>In addition, according to C1-224523</w:t>
      </w:r>
      <w:r>
        <w:rPr>
          <w:rFonts w:hint="eastAsia"/>
          <w:lang w:eastAsia="zh-CN"/>
        </w:rPr>
        <w:t>/</w:t>
      </w:r>
      <w:r>
        <w:rPr>
          <w:lang w:eastAsia="zh-CN"/>
        </w:rPr>
        <w:t>R2-2206597 Reply LS on SDU type used over user plane for NR PC5 reference point</w:t>
      </w:r>
      <w:r>
        <w:rPr>
          <w:rFonts w:hint="eastAsia"/>
          <w:lang w:eastAsia="zh-CN"/>
        </w:rPr>
        <w:t>,</w:t>
      </w:r>
      <w:r>
        <w:rPr>
          <w:lang w:eastAsia="zh-CN"/>
        </w:rPr>
        <w:t xml:space="preserve"> </w:t>
      </w:r>
      <w:r>
        <w:rPr>
          <w:rFonts w:hint="eastAsia"/>
          <w:lang w:eastAsia="zh-CN"/>
        </w:rPr>
        <w:t xml:space="preserve">RAN2 has discussed this LS in RAN2#118 meeting, and </w:t>
      </w:r>
      <w:r>
        <w:rPr>
          <w:lang w:eastAsia="zh-CN"/>
        </w:rPr>
        <w:t>agrees to introduce</w:t>
      </w:r>
      <w:r>
        <w:rPr>
          <w:rFonts w:hint="eastAsia"/>
          <w:lang w:eastAsia="zh-CN"/>
        </w:rPr>
        <w:t xml:space="preserve"> three </w:t>
      </w:r>
      <w:r>
        <w:rPr>
          <w:rFonts w:hint="eastAsia"/>
          <w:highlight w:val="yellow"/>
          <w:lang w:eastAsia="zh-CN"/>
        </w:rPr>
        <w:t xml:space="preserve">new code points of PDCP SDU type to support </w:t>
      </w:r>
      <w:r>
        <w:rPr>
          <w:highlight w:val="yellow"/>
          <w:lang w:eastAsia="zh-CN"/>
        </w:rPr>
        <w:t>""</w:t>
      </w:r>
      <w:r>
        <w:rPr>
          <w:rFonts w:hint="eastAsia"/>
          <w:highlight w:val="yellow"/>
          <w:lang w:eastAsia="zh-CN"/>
        </w:rPr>
        <w:t>Ethernet</w:t>
      </w:r>
      <w:r>
        <w:rPr>
          <w:highlight w:val="yellow"/>
          <w:lang w:eastAsia="zh-CN"/>
        </w:rPr>
        <w:t>"</w:t>
      </w:r>
      <w:r>
        <w:rPr>
          <w:rFonts w:hint="eastAsia"/>
          <w:highlight w:val="yellow"/>
          <w:lang w:eastAsia="zh-CN"/>
        </w:rPr>
        <w:t xml:space="preserve">, </w:t>
      </w:r>
      <w:r>
        <w:rPr>
          <w:highlight w:val="yellow"/>
          <w:lang w:eastAsia="zh-CN"/>
        </w:rPr>
        <w:t>"</w:t>
      </w:r>
      <w:r>
        <w:rPr>
          <w:rFonts w:hint="eastAsia"/>
          <w:highlight w:val="yellow"/>
          <w:lang w:eastAsia="zh-CN"/>
        </w:rPr>
        <w:t>Unstructured</w:t>
      </w:r>
      <w:r>
        <w:rPr>
          <w:highlight w:val="yellow"/>
          <w:lang w:eastAsia="zh-CN"/>
        </w:rPr>
        <w:t>"</w:t>
      </w:r>
      <w:r>
        <w:rPr>
          <w:rFonts w:hint="eastAsia"/>
          <w:highlight w:val="yellow"/>
          <w:lang w:eastAsia="zh-CN"/>
        </w:rPr>
        <w:t xml:space="preserve"> and </w:t>
      </w:r>
      <w:r>
        <w:rPr>
          <w:highlight w:val="yellow"/>
          <w:lang w:eastAsia="zh-CN"/>
        </w:rPr>
        <w:t>"</w:t>
      </w:r>
      <w:r>
        <w:rPr>
          <w:rFonts w:hint="eastAsia"/>
          <w:highlight w:val="yellow"/>
          <w:lang w:eastAsia="zh-CN"/>
        </w:rPr>
        <w:t>ARP</w:t>
      </w:r>
      <w:r>
        <w:rPr>
          <w:highlight w:val="yellow"/>
          <w:lang w:eastAsia="zh-CN"/>
        </w:rPr>
        <w:t>"</w:t>
      </w:r>
      <w:r>
        <w:rPr>
          <w:rFonts w:hint="eastAsia"/>
          <w:highlight w:val="yellow"/>
          <w:lang w:eastAsia="zh-CN"/>
        </w:rPr>
        <w:t xml:space="preserve"> data unit type for </w:t>
      </w:r>
      <w:r>
        <w:rPr>
          <w:highlight w:val="yellow"/>
          <w:lang w:eastAsia="zh-CN"/>
        </w:rPr>
        <w:t xml:space="preserve">5G </w:t>
      </w:r>
      <w:r>
        <w:rPr>
          <w:rFonts w:hint="eastAsia"/>
          <w:highlight w:val="yellow"/>
          <w:lang w:eastAsia="zh-CN"/>
        </w:rPr>
        <w:t>ProSe</w:t>
      </w:r>
      <w:r>
        <w:rPr>
          <w:rFonts w:hint="eastAsia"/>
          <w:lang w:eastAsia="zh-CN"/>
        </w:rPr>
        <w:t>. Hence</w:t>
      </w:r>
      <w:r>
        <w:rPr>
          <w:lang w:eastAsia="zh-CN"/>
        </w:rPr>
        <w:t xml:space="preserve"> RAN2 </w:t>
      </w:r>
      <w:r>
        <w:rPr>
          <w:rFonts w:hint="eastAsia"/>
          <w:lang w:eastAsia="zh-CN"/>
        </w:rPr>
        <w:t xml:space="preserve">confirms that the </w:t>
      </w:r>
      <w:r>
        <w:rPr>
          <w:lang w:eastAsia="zh-CN"/>
        </w:rPr>
        <w:t xml:space="preserve">"Ethernet PDCP SDU type" and "Unstructured PDCP SDU type" </w:t>
      </w:r>
      <w:r>
        <w:rPr>
          <w:rFonts w:hint="eastAsia"/>
          <w:lang w:eastAsia="zh-CN"/>
        </w:rPr>
        <w:t xml:space="preserve">are supported by AS layer </w:t>
      </w:r>
      <w:r>
        <w:rPr>
          <w:lang w:eastAsia="zh-CN"/>
        </w:rPr>
        <w:t>for NR PC5 reference point</w:t>
      </w:r>
      <w:r>
        <w:rPr>
          <w:rFonts w:hint="eastAsia"/>
          <w:lang w:eastAsia="zh-CN"/>
        </w:rPr>
        <w:t>.</w:t>
      </w:r>
    </w:p>
    <w:p>
      <w:pPr>
        <w:rPr>
          <w:lang w:eastAsia="zh-CN"/>
        </w:rPr>
      </w:pPr>
    </w:p>
    <w:p>
      <w:pPr>
        <w:spacing w:after="240"/>
        <w:rPr>
          <w:rFonts w:hint="eastAsia"/>
          <w:lang w:val="en-US" w:eastAsia="zh-CN"/>
        </w:rPr>
      </w:pPr>
      <w:r>
        <w:rPr>
          <w:b/>
          <w:lang w:eastAsia="zh-CN"/>
        </w:rPr>
        <w:t>Observation</w:t>
      </w:r>
      <w:r>
        <w:rPr>
          <w:b/>
          <w:lang w:val="en-US" w:eastAsia="zh-CN"/>
        </w:rPr>
        <w:t> 2</w:t>
      </w:r>
      <w:r>
        <w:rPr>
          <w:rFonts w:hint="eastAsia"/>
          <w:lang w:val="en-US" w:eastAsia="zh-CN"/>
        </w:rPr>
        <w:t>:</w:t>
      </w:r>
      <w:r>
        <w:rPr>
          <w:lang w:val="en-US" w:eastAsia="zh-CN"/>
        </w:rPr>
        <w:t xml:space="preserve"> </w:t>
      </w:r>
      <w:r>
        <w:rPr>
          <w:b/>
          <w:i/>
          <w:lang w:val="en-US" w:eastAsia="zh-CN"/>
        </w:rPr>
        <w:t xml:space="preserve">The purpose that ProSe layer "tags" each outgoing protocol data unit with the following information before passing it to the lower layer is to let PDCP know how to set SDU type. "Tag" should be an </w:t>
      </w:r>
      <w:r>
        <w:rPr>
          <w:rFonts w:hint="eastAsia"/>
          <w:b/>
          <w:i/>
          <w:lang w:val="en-US" w:eastAsia="zh-CN"/>
        </w:rPr>
        <w:t>implementation</w:t>
      </w:r>
      <w:r>
        <w:rPr>
          <w:b/>
          <w:i/>
          <w:lang w:val="en-US" w:eastAsia="zh-CN"/>
        </w:rPr>
        <w:t xml:space="preserve"> way to deliver the data unit protocol type information via the internal interface between the ProSe layer and the lower layer (see figure 2-2 below)</w:t>
      </w:r>
      <w:r>
        <w:rPr>
          <w:i/>
          <w:lang w:val="en-US" w:eastAsia="zh-CN"/>
        </w:rPr>
        <w:t>.</w:t>
      </w:r>
    </w:p>
    <w:p>
      <w:pPr>
        <w:jc w:val="center"/>
      </w:pPr>
      <w:r>
        <w:object>
          <v:shape id="_x0000_i1026" o:spt="75" type="#_x0000_t75" style="height:174pt;width:247pt;" o:ole="t" filled="f" o:preferrelative="t" stroked="f" coordsize="21600,21600">
            <v:path/>
            <v:fill on="f" focussize="0,0"/>
            <v:stroke on="f" joinstyle="miter"/>
            <v:imagedata r:id="rId7" o:title=""/>
            <o:lock v:ext="edit" aspectratio="t"/>
            <w10:wrap type="none"/>
            <w10:anchorlock/>
          </v:shape>
          <o:OLEObject Type="Embed" ProgID="Visio.Drawing.11" ShapeID="_x0000_i1026" DrawAspect="Content" ObjectID="_1468075726" r:id="rId6">
            <o:LockedField>false</o:LockedField>
          </o:OLEObject>
        </w:object>
      </w:r>
    </w:p>
    <w:p>
      <w:pPr>
        <w:pStyle w:val="22"/>
        <w:overflowPunct w:val="0"/>
        <w:autoSpaceDE w:val="0"/>
        <w:autoSpaceDN w:val="0"/>
        <w:adjustRightInd w:val="0"/>
        <w:textAlignment w:val="baseline"/>
      </w:pPr>
      <w:r>
        <w:t>Figure 2-2: Example of data unit processing between different layers</w:t>
      </w:r>
    </w:p>
    <w:p>
      <w:pPr>
        <w:jc w:val="center"/>
        <w:rPr>
          <w:rFonts w:hint="eastAsia"/>
          <w:b/>
          <w:lang w:eastAsia="zh-CN"/>
        </w:rPr>
      </w:pPr>
    </w:p>
    <w:p>
      <w:pPr>
        <w:rPr>
          <w:lang w:val="en-US" w:eastAsia="zh-CN"/>
        </w:rPr>
      </w:pPr>
      <w:r>
        <w:rPr>
          <w:b/>
          <w:lang w:val="en-US" w:eastAsia="zh-CN"/>
        </w:rPr>
        <w:t>Conclusions</w:t>
      </w:r>
      <w:r>
        <w:rPr>
          <w:lang w:val="en-US" w:eastAsia="zh-CN"/>
        </w:rPr>
        <w:t>:</w:t>
      </w:r>
    </w:p>
    <w:p>
      <w:pPr>
        <w:spacing w:after="240"/>
        <w:rPr>
          <w:i w:val="0"/>
          <w:iCs/>
          <w:lang w:eastAsia="zh-CN"/>
        </w:rPr>
      </w:pPr>
      <w:r>
        <w:rPr>
          <w:i w:val="0"/>
          <w:iCs/>
          <w:lang w:eastAsia="zh-CN"/>
        </w:rPr>
        <w:t>-</w:t>
      </w:r>
      <w:r>
        <w:rPr>
          <w:i w:val="0"/>
          <w:iCs/>
          <w:lang w:eastAsia="zh-CN"/>
        </w:rPr>
        <w:tab/>
      </w:r>
      <w:r>
        <w:rPr>
          <w:i w:val="0"/>
          <w:iCs/>
          <w:lang w:eastAsia="zh-CN"/>
        </w:rPr>
        <w:t>The ProSe layer is not required to process the packets to add protocol type field into the packets before deliver the packets to the AS layer.</w:t>
      </w:r>
    </w:p>
    <w:p>
      <w:pPr>
        <w:spacing w:after="240"/>
        <w:rPr>
          <w:rFonts w:hint="eastAsia"/>
          <w:i w:val="0"/>
          <w:iCs/>
          <w:lang w:val="en-US" w:eastAsia="zh-CN"/>
        </w:rPr>
      </w:pPr>
      <w:r>
        <w:rPr>
          <w:i w:val="0"/>
          <w:iCs/>
          <w:lang w:eastAsia="zh-CN"/>
        </w:rPr>
        <w:t>-</w:t>
      </w:r>
      <w:r>
        <w:rPr>
          <w:i w:val="0"/>
          <w:iCs/>
          <w:lang w:eastAsia="zh-CN"/>
        </w:rPr>
        <w:tab/>
      </w:r>
      <w:r>
        <w:rPr>
          <w:i w:val="0"/>
          <w:iCs/>
          <w:lang w:eastAsia="zh-CN"/>
        </w:rPr>
        <w:t xml:space="preserve">The non-IP type field is not </w:t>
      </w:r>
      <w:r>
        <w:rPr>
          <w:rFonts w:hint="eastAsia"/>
          <w:i w:val="0"/>
          <w:iCs/>
          <w:lang w:eastAsia="zh-CN"/>
        </w:rPr>
        <w:t>necessary</w:t>
      </w:r>
      <w:r>
        <w:rPr>
          <w:i w:val="0"/>
          <w:iCs/>
          <w:lang w:eastAsia="zh-CN"/>
        </w:rPr>
        <w:t xml:space="preserve"> in the non-IP PDU format as defined in TS</w:t>
      </w:r>
      <w:r>
        <w:rPr>
          <w:i w:val="0"/>
          <w:iCs/>
          <w:lang w:val="en-US" w:eastAsia="zh-CN"/>
        </w:rPr>
        <w:t> 24.554 and brings a waste of the radio signaling resource over PC5.</w:t>
      </w:r>
    </w:p>
    <w:tbl>
      <w:tblPr>
        <w:tblStyle w:val="11"/>
        <w:tblW w:w="0" w:type="auto"/>
        <w:tblInd w:w="1828" w:type="dxa"/>
        <w:tblLayout w:type="fixed"/>
        <w:tblCellMar>
          <w:top w:w="0" w:type="dxa"/>
          <w:left w:w="28" w:type="dxa"/>
          <w:bottom w:w="0" w:type="dxa"/>
          <w:right w:w="56" w:type="dxa"/>
        </w:tblCellMar>
      </w:tblPr>
      <w:tblGrid>
        <w:gridCol w:w="708"/>
        <w:gridCol w:w="709"/>
        <w:gridCol w:w="709"/>
        <w:gridCol w:w="709"/>
        <w:gridCol w:w="709"/>
        <w:gridCol w:w="709"/>
        <w:gridCol w:w="709"/>
        <w:gridCol w:w="709"/>
        <w:gridCol w:w="1134"/>
      </w:tblGrid>
      <w:tr>
        <w:tblPrEx>
          <w:tblCellMar>
            <w:top w:w="0" w:type="dxa"/>
            <w:left w:w="28" w:type="dxa"/>
            <w:bottom w:w="0" w:type="dxa"/>
            <w:right w:w="56" w:type="dxa"/>
          </w:tblCellMar>
        </w:tblPrEx>
        <w:trPr>
          <w:trHeight w:val="255" w:hRule="atLeast"/>
        </w:trPr>
        <w:tc>
          <w:tcPr>
            <w:tcW w:w="5671" w:type="dxa"/>
            <w:gridSpan w:val="8"/>
            <w:vAlign w:val="center"/>
          </w:tcPr>
          <w:p>
            <w:pPr>
              <w:pStyle w:val="25"/>
            </w:pPr>
            <w:r>
              <w:t>Bits</w:t>
            </w:r>
          </w:p>
        </w:tc>
        <w:tc>
          <w:tcPr>
            <w:tcW w:w="1134" w:type="dxa"/>
            <w:vAlign w:val="center"/>
          </w:tcPr>
          <w:p>
            <w:pPr>
              <w:pStyle w:val="25"/>
              <w:ind w:left="360"/>
            </w:pPr>
            <w:bookmarkStart w:id="1" w:name="_PERM_MCCTEMPBM_CRPT33550279___2"/>
            <w:bookmarkEnd w:id="1"/>
          </w:p>
        </w:tc>
      </w:tr>
      <w:tr>
        <w:tblPrEx>
          <w:tblCellMar>
            <w:top w:w="0" w:type="dxa"/>
            <w:left w:w="28" w:type="dxa"/>
            <w:bottom w:w="0" w:type="dxa"/>
            <w:right w:w="56" w:type="dxa"/>
          </w:tblCellMar>
        </w:tblPrEx>
        <w:trPr>
          <w:trHeight w:val="255" w:hRule="atLeast"/>
        </w:trPr>
        <w:tc>
          <w:tcPr>
            <w:tcW w:w="708" w:type="dxa"/>
            <w:tcBorders>
              <w:top w:val="nil"/>
              <w:left w:val="nil"/>
              <w:bottom w:val="single" w:color="auto" w:sz="4" w:space="0"/>
              <w:right w:val="nil"/>
            </w:tcBorders>
            <w:vAlign w:val="center"/>
          </w:tcPr>
          <w:p>
            <w:pPr>
              <w:pStyle w:val="25"/>
            </w:pPr>
            <w:r>
              <w:t>8</w:t>
            </w:r>
          </w:p>
        </w:tc>
        <w:tc>
          <w:tcPr>
            <w:tcW w:w="709" w:type="dxa"/>
            <w:tcBorders>
              <w:top w:val="nil"/>
              <w:left w:val="nil"/>
              <w:bottom w:val="single" w:color="auto" w:sz="4" w:space="0"/>
              <w:right w:val="nil"/>
            </w:tcBorders>
            <w:vAlign w:val="center"/>
          </w:tcPr>
          <w:p>
            <w:pPr>
              <w:pStyle w:val="25"/>
            </w:pPr>
            <w:r>
              <w:t>7</w:t>
            </w:r>
          </w:p>
        </w:tc>
        <w:tc>
          <w:tcPr>
            <w:tcW w:w="709" w:type="dxa"/>
            <w:tcBorders>
              <w:top w:val="nil"/>
              <w:left w:val="nil"/>
              <w:bottom w:val="single" w:color="auto" w:sz="4" w:space="0"/>
              <w:right w:val="nil"/>
            </w:tcBorders>
            <w:vAlign w:val="center"/>
          </w:tcPr>
          <w:p>
            <w:pPr>
              <w:pStyle w:val="25"/>
            </w:pPr>
            <w:r>
              <w:t>6</w:t>
            </w:r>
          </w:p>
        </w:tc>
        <w:tc>
          <w:tcPr>
            <w:tcW w:w="709" w:type="dxa"/>
            <w:tcBorders>
              <w:top w:val="nil"/>
              <w:left w:val="nil"/>
              <w:bottom w:val="single" w:color="auto" w:sz="4" w:space="0"/>
              <w:right w:val="nil"/>
            </w:tcBorders>
            <w:vAlign w:val="center"/>
          </w:tcPr>
          <w:p>
            <w:pPr>
              <w:pStyle w:val="25"/>
            </w:pPr>
            <w:r>
              <w:t>5</w:t>
            </w:r>
          </w:p>
        </w:tc>
        <w:tc>
          <w:tcPr>
            <w:tcW w:w="709" w:type="dxa"/>
            <w:tcBorders>
              <w:top w:val="nil"/>
              <w:left w:val="nil"/>
              <w:bottom w:val="single" w:color="auto" w:sz="4" w:space="0"/>
              <w:right w:val="nil"/>
            </w:tcBorders>
            <w:vAlign w:val="center"/>
          </w:tcPr>
          <w:p>
            <w:pPr>
              <w:pStyle w:val="25"/>
            </w:pPr>
            <w:r>
              <w:t>4</w:t>
            </w:r>
          </w:p>
        </w:tc>
        <w:tc>
          <w:tcPr>
            <w:tcW w:w="709" w:type="dxa"/>
            <w:tcBorders>
              <w:top w:val="nil"/>
              <w:left w:val="nil"/>
              <w:bottom w:val="single" w:color="auto" w:sz="4" w:space="0"/>
              <w:right w:val="nil"/>
            </w:tcBorders>
            <w:vAlign w:val="center"/>
          </w:tcPr>
          <w:p>
            <w:pPr>
              <w:pStyle w:val="25"/>
            </w:pPr>
            <w:r>
              <w:t>3</w:t>
            </w:r>
          </w:p>
        </w:tc>
        <w:tc>
          <w:tcPr>
            <w:tcW w:w="709" w:type="dxa"/>
            <w:tcBorders>
              <w:top w:val="nil"/>
              <w:left w:val="nil"/>
              <w:bottom w:val="single" w:color="auto" w:sz="4" w:space="0"/>
              <w:right w:val="nil"/>
            </w:tcBorders>
            <w:vAlign w:val="center"/>
          </w:tcPr>
          <w:p>
            <w:pPr>
              <w:pStyle w:val="25"/>
            </w:pPr>
            <w:r>
              <w:t>2</w:t>
            </w:r>
          </w:p>
        </w:tc>
        <w:tc>
          <w:tcPr>
            <w:tcW w:w="709" w:type="dxa"/>
            <w:tcBorders>
              <w:top w:val="nil"/>
              <w:left w:val="nil"/>
              <w:bottom w:val="single" w:color="auto" w:sz="4" w:space="0"/>
              <w:right w:val="nil"/>
            </w:tcBorders>
            <w:vAlign w:val="center"/>
          </w:tcPr>
          <w:p>
            <w:pPr>
              <w:pStyle w:val="25"/>
            </w:pPr>
            <w:r>
              <w:t>1</w:t>
            </w:r>
          </w:p>
        </w:tc>
        <w:tc>
          <w:tcPr>
            <w:tcW w:w="1134" w:type="dxa"/>
            <w:vAlign w:val="center"/>
          </w:tcPr>
          <w:p>
            <w:pPr>
              <w:pStyle w:val="25"/>
            </w:pPr>
            <w:r>
              <w:t>Octets</w:t>
            </w:r>
          </w:p>
        </w:tc>
      </w:tr>
      <w:tr>
        <w:tblPrEx>
          <w:tblCellMar>
            <w:top w:w="0" w:type="dxa"/>
            <w:left w:w="28" w:type="dxa"/>
            <w:bottom w:w="0" w:type="dxa"/>
            <w:right w:w="56" w:type="dxa"/>
          </w:tblCellMar>
        </w:tblPrEx>
        <w:trPr>
          <w:trHeight w:val="255" w:hRule="atLeast"/>
        </w:trPr>
        <w:tc>
          <w:tcPr>
            <w:tcW w:w="5671" w:type="dxa"/>
            <w:gridSpan w:val="8"/>
            <w:tcBorders>
              <w:top w:val="single" w:color="auto" w:sz="4" w:space="0"/>
              <w:left w:val="single" w:color="auto" w:sz="4" w:space="0"/>
              <w:bottom w:val="nil"/>
              <w:right w:val="single" w:color="auto" w:sz="4" w:space="0"/>
            </w:tcBorders>
          </w:tcPr>
          <w:p>
            <w:pPr>
              <w:pStyle w:val="26"/>
            </w:pPr>
            <w:r>
              <w:t>Non-IP type</w:t>
            </w:r>
          </w:p>
        </w:tc>
        <w:tc>
          <w:tcPr>
            <w:tcW w:w="1134" w:type="dxa"/>
            <w:tcBorders>
              <w:top w:val="nil"/>
              <w:left w:val="single" w:color="auto" w:sz="4" w:space="0"/>
              <w:bottom w:val="nil"/>
              <w:right w:val="nil"/>
            </w:tcBorders>
            <w:vAlign w:val="center"/>
          </w:tcPr>
          <w:p>
            <w:pPr>
              <w:pStyle w:val="26"/>
            </w:pPr>
            <w:r>
              <w:t>1</w:t>
            </w:r>
          </w:p>
        </w:tc>
      </w:tr>
      <w:tr>
        <w:tblPrEx>
          <w:tblCellMar>
            <w:top w:w="0" w:type="dxa"/>
            <w:left w:w="28" w:type="dxa"/>
            <w:bottom w:w="0" w:type="dxa"/>
            <w:right w:w="56" w:type="dxa"/>
          </w:tblCellMar>
        </w:tblPrEx>
        <w:trPr>
          <w:trHeight w:val="255" w:hRule="atLeast"/>
        </w:trPr>
        <w:tc>
          <w:tcPr>
            <w:tcW w:w="5671" w:type="dxa"/>
            <w:gridSpan w:val="8"/>
            <w:vMerge w:val="restart"/>
            <w:tcBorders>
              <w:top w:val="single" w:color="auto" w:sz="4" w:space="0"/>
              <w:left w:val="single" w:color="auto" w:sz="4" w:space="0"/>
              <w:bottom w:val="single" w:color="auto" w:sz="6" w:space="0"/>
              <w:right w:val="single" w:color="auto" w:sz="4" w:space="0"/>
            </w:tcBorders>
            <w:vAlign w:val="center"/>
          </w:tcPr>
          <w:p>
            <w:pPr>
              <w:pStyle w:val="26"/>
            </w:pPr>
            <w:r>
              <w:t>Non-IP payload</w:t>
            </w:r>
          </w:p>
        </w:tc>
        <w:tc>
          <w:tcPr>
            <w:tcW w:w="1134" w:type="dxa"/>
            <w:tcBorders>
              <w:top w:val="nil"/>
              <w:left w:val="single" w:color="auto" w:sz="4" w:space="0"/>
              <w:bottom w:val="nil"/>
              <w:right w:val="nil"/>
            </w:tcBorders>
            <w:vAlign w:val="center"/>
          </w:tcPr>
          <w:p>
            <w:pPr>
              <w:pStyle w:val="26"/>
            </w:pPr>
            <w:r>
              <w:t>2</w:t>
            </w:r>
          </w:p>
        </w:tc>
      </w:tr>
      <w:tr>
        <w:tblPrEx>
          <w:tblCellMar>
            <w:top w:w="0" w:type="dxa"/>
            <w:left w:w="28" w:type="dxa"/>
            <w:bottom w:w="0" w:type="dxa"/>
            <w:right w:w="56" w:type="dxa"/>
          </w:tblCellMar>
        </w:tblPrEx>
        <w:trPr>
          <w:trHeight w:val="255" w:hRule="atLeast"/>
        </w:trPr>
        <w:tc>
          <w:tcPr>
            <w:tcW w:w="10634" w:type="dxa"/>
            <w:gridSpan w:val="8"/>
            <w:vMerge w:val="continue"/>
            <w:tcBorders>
              <w:top w:val="single" w:color="auto" w:sz="4" w:space="0"/>
              <w:left w:val="single" w:color="auto" w:sz="4" w:space="0"/>
              <w:bottom w:val="single" w:color="auto" w:sz="6" w:space="0"/>
              <w:right w:val="single" w:color="auto" w:sz="4" w:space="0"/>
            </w:tcBorders>
            <w:vAlign w:val="center"/>
          </w:tcPr>
          <w:p>
            <w:pPr>
              <w:pStyle w:val="26"/>
              <w:rPr>
                <w:rFonts w:eastAsia="等线"/>
              </w:rPr>
            </w:pPr>
          </w:p>
        </w:tc>
        <w:tc>
          <w:tcPr>
            <w:tcW w:w="1134" w:type="dxa"/>
            <w:tcBorders>
              <w:top w:val="nil"/>
              <w:left w:val="single" w:color="auto" w:sz="4" w:space="0"/>
              <w:bottom w:val="nil"/>
              <w:right w:val="nil"/>
            </w:tcBorders>
            <w:vAlign w:val="center"/>
          </w:tcPr>
          <w:p>
            <w:pPr>
              <w:pStyle w:val="26"/>
            </w:pPr>
          </w:p>
        </w:tc>
      </w:tr>
      <w:tr>
        <w:tblPrEx>
          <w:tblCellMar>
            <w:top w:w="0" w:type="dxa"/>
            <w:left w:w="28" w:type="dxa"/>
            <w:bottom w:w="0" w:type="dxa"/>
            <w:right w:w="56" w:type="dxa"/>
          </w:tblCellMar>
        </w:tblPrEx>
        <w:trPr>
          <w:trHeight w:val="255" w:hRule="atLeast"/>
        </w:trPr>
        <w:tc>
          <w:tcPr>
            <w:tcW w:w="10634" w:type="dxa"/>
            <w:gridSpan w:val="8"/>
            <w:vMerge w:val="continue"/>
            <w:tcBorders>
              <w:top w:val="single" w:color="auto" w:sz="4" w:space="0"/>
              <w:left w:val="single" w:color="auto" w:sz="4" w:space="0"/>
              <w:bottom w:val="single" w:color="auto" w:sz="6" w:space="0"/>
              <w:right w:val="single" w:color="auto" w:sz="4" w:space="0"/>
            </w:tcBorders>
            <w:vAlign w:val="center"/>
          </w:tcPr>
          <w:p>
            <w:pPr>
              <w:pStyle w:val="26"/>
              <w:rPr>
                <w:rFonts w:eastAsia="等线"/>
              </w:rPr>
            </w:pPr>
          </w:p>
        </w:tc>
        <w:tc>
          <w:tcPr>
            <w:tcW w:w="1134" w:type="dxa"/>
            <w:tcBorders>
              <w:top w:val="nil"/>
              <w:left w:val="single" w:color="auto" w:sz="4" w:space="0"/>
              <w:bottom w:val="nil"/>
              <w:right w:val="nil"/>
            </w:tcBorders>
            <w:vAlign w:val="center"/>
          </w:tcPr>
          <w:p>
            <w:pPr>
              <w:pStyle w:val="26"/>
              <w:rPr>
                <w:rFonts w:ascii="CG Times (WN)" w:hAnsi="CG Times (WN)"/>
                <w:lang w:eastAsia="zh-CN"/>
              </w:rPr>
            </w:pPr>
          </w:p>
        </w:tc>
      </w:tr>
      <w:tr>
        <w:tblPrEx>
          <w:tblCellMar>
            <w:top w:w="0" w:type="dxa"/>
            <w:left w:w="28" w:type="dxa"/>
            <w:bottom w:w="0" w:type="dxa"/>
            <w:right w:w="56" w:type="dxa"/>
          </w:tblCellMar>
        </w:tblPrEx>
        <w:trPr>
          <w:trHeight w:val="255" w:hRule="atLeast"/>
        </w:trPr>
        <w:tc>
          <w:tcPr>
            <w:tcW w:w="10634" w:type="dxa"/>
            <w:gridSpan w:val="8"/>
            <w:vMerge w:val="continue"/>
            <w:tcBorders>
              <w:top w:val="single" w:color="auto" w:sz="4" w:space="0"/>
              <w:left w:val="single" w:color="auto" w:sz="4" w:space="0"/>
              <w:bottom w:val="single" w:color="auto" w:sz="6" w:space="0"/>
              <w:right w:val="single" w:color="auto" w:sz="4" w:space="0"/>
            </w:tcBorders>
            <w:vAlign w:val="center"/>
          </w:tcPr>
          <w:p>
            <w:pPr>
              <w:pStyle w:val="26"/>
              <w:rPr>
                <w:rFonts w:eastAsia="等线"/>
              </w:rPr>
            </w:pPr>
          </w:p>
        </w:tc>
        <w:tc>
          <w:tcPr>
            <w:tcW w:w="1134" w:type="dxa"/>
            <w:tcBorders>
              <w:top w:val="nil"/>
              <w:left w:val="single" w:color="auto" w:sz="4" w:space="0"/>
              <w:bottom w:val="nil"/>
              <w:right w:val="nil"/>
            </w:tcBorders>
            <w:vAlign w:val="center"/>
          </w:tcPr>
          <w:p>
            <w:pPr>
              <w:pStyle w:val="26"/>
              <w:rPr>
                <w:rFonts w:eastAsia="等线"/>
              </w:rPr>
            </w:pPr>
            <w:r>
              <w:t>n</w:t>
            </w:r>
          </w:p>
        </w:tc>
      </w:tr>
    </w:tbl>
    <w:p>
      <w:pPr>
        <w:spacing w:after="240"/>
        <w:rPr>
          <w:lang w:val="en-US" w:eastAsia="zh-CN"/>
        </w:rPr>
      </w:pPr>
      <w:r>
        <w:rPr>
          <w:rFonts w:hint="eastAsia"/>
          <w:lang w:val="en-US" w:eastAsia="zh-CN"/>
        </w:rPr>
        <w:t>-</w:t>
      </w:r>
      <w:r>
        <w:rPr>
          <w:lang w:val="en-US" w:eastAsia="zh-CN"/>
        </w:rPr>
        <w:tab/>
      </w:r>
      <w:r>
        <w:rPr>
          <w:lang w:val="en-US" w:eastAsia="zh-CN"/>
        </w:rPr>
        <w:t>Following non-IP transmission handling procedure described in TS 24.554 is not needed.</w:t>
      </w:r>
    </w:p>
    <w:p>
      <w:pPr>
        <w:ind w:left="800" w:leftChars="400"/>
        <w:rPr>
          <w:i/>
          <w:lang w:eastAsia="zh-CN"/>
        </w:rPr>
      </w:pPr>
      <w:r>
        <w:rPr>
          <w:lang w:val="en-US" w:eastAsia="zh-CN"/>
        </w:rPr>
        <w:t>"</w:t>
      </w:r>
      <w:r>
        <w:rPr>
          <w:i/>
          <w:lang w:eastAsia="zh-CN"/>
        </w:rPr>
        <w:t>7.5.2</w:t>
      </w:r>
      <w:r>
        <w:rPr>
          <w:i/>
          <w:lang w:eastAsia="zh-CN"/>
        </w:rPr>
        <w:tab/>
      </w:r>
      <w:r>
        <w:rPr>
          <w:i/>
          <w:lang w:eastAsia="zh-CN"/>
        </w:rPr>
        <w:t>Non-IP data transmission over PC5</w:t>
      </w:r>
    </w:p>
    <w:p>
      <w:pPr>
        <w:ind w:left="800" w:leftChars="400"/>
        <w:rPr>
          <w:i/>
          <w:lang w:eastAsia="zh-CN"/>
        </w:rPr>
      </w:pPr>
      <w:r>
        <w:rPr>
          <w:i/>
          <w:lang w:eastAsia="zh-CN"/>
        </w:rPr>
        <w:t>Upon a request from upper layers to send an Ethernet data, Address Resolution Protocol, or Unstructured data, the UE shall create a non-IP PDU, shall set the non-IP payload field of the non-IP PDU to the data provided by upper layers and shall set the non-IP type field of the non-IP PDU to the non-IP type provided by upper layers, as specified in clause 11.5. The UE shall then pass the non-IP PDU to the lower layers for transmission.</w:t>
      </w:r>
    </w:p>
    <w:p>
      <w:pPr>
        <w:ind w:left="800" w:leftChars="400"/>
        <w:rPr>
          <w:i/>
          <w:lang w:eastAsia="zh-CN"/>
        </w:rPr>
      </w:pPr>
      <w:r>
        <w:rPr>
          <w:i/>
          <w:lang w:eastAsia="zh-CN"/>
        </w:rPr>
        <w:t>7.5.3</w:t>
      </w:r>
      <w:r>
        <w:rPr>
          <w:i/>
          <w:lang w:eastAsia="zh-CN"/>
        </w:rPr>
        <w:tab/>
      </w:r>
      <w:r>
        <w:rPr>
          <w:i/>
          <w:lang w:eastAsia="zh-CN"/>
        </w:rPr>
        <w:t>Non-IP data reception over PC5</w:t>
      </w:r>
    </w:p>
    <w:p>
      <w:pPr>
        <w:ind w:left="800" w:leftChars="400"/>
        <w:rPr>
          <w:i/>
          <w:lang w:eastAsia="zh-CN"/>
        </w:rPr>
      </w:pPr>
      <w:r>
        <w:rPr>
          <w:i/>
          <w:lang w:eastAsia="zh-CN"/>
        </w:rPr>
        <w:t>Upon receiving a non-IP PDU from the lower layers, the UE shall either:</w:t>
      </w:r>
    </w:p>
    <w:p>
      <w:pPr>
        <w:ind w:left="800" w:leftChars="400"/>
        <w:rPr>
          <w:i/>
          <w:lang w:eastAsia="zh-CN"/>
        </w:rPr>
      </w:pPr>
      <w:r>
        <w:rPr>
          <w:i/>
          <w:lang w:eastAsia="zh-CN"/>
        </w:rPr>
        <w:t>a)</w:t>
      </w:r>
      <w:r>
        <w:rPr>
          <w:i/>
          <w:lang w:eastAsia="zh-CN"/>
        </w:rPr>
        <w:tab/>
      </w:r>
      <w:r>
        <w:rPr>
          <w:i/>
          <w:lang w:eastAsia="zh-CN"/>
        </w:rPr>
        <w:t>check the non-IP type field in the non-IP PDU and provide the non-IP data in the non-IP payload field of the non-IP PDU to the corresponding upper layer entity; or</w:t>
      </w:r>
    </w:p>
    <w:p>
      <w:pPr>
        <w:ind w:left="800" w:leftChars="400"/>
        <w:rPr>
          <w:lang w:val="en-US" w:eastAsia="zh-CN"/>
        </w:rPr>
      </w:pPr>
      <w:r>
        <w:rPr>
          <w:i/>
          <w:lang w:eastAsia="zh-CN"/>
        </w:rPr>
        <w:t>b)</w:t>
      </w:r>
      <w:r>
        <w:rPr>
          <w:i/>
          <w:lang w:eastAsia="zh-CN"/>
        </w:rPr>
        <w:tab/>
      </w:r>
      <w:r>
        <w:rPr>
          <w:i/>
          <w:lang w:eastAsia="zh-CN"/>
        </w:rPr>
        <w:t>provide the upper layers with the non-IP data in the non-IP payload field of the non-IP PDU and with the non-IP type in the non-IP type field of the non-IP PDU.</w:t>
      </w:r>
      <w:r>
        <w:rPr>
          <w:lang w:val="en-US" w:eastAsia="zh-CN"/>
        </w:rPr>
        <w:t>"</w:t>
      </w:r>
    </w:p>
    <w:p>
      <w:pPr>
        <w:rPr>
          <w:rFonts w:hint="eastAsia"/>
          <w:lang w:val="en-US" w:eastAsia="zh-CN"/>
        </w:rPr>
      </w:pPr>
    </w:p>
    <w:p>
      <w:pPr>
        <w:pStyle w:val="2"/>
        <w:rPr>
          <w:lang w:eastAsia="zh-CN"/>
        </w:rPr>
      </w:pPr>
      <w:r>
        <w:rPr>
          <w:lang w:eastAsia="zh-CN"/>
        </w:rPr>
        <w:t>3.</w:t>
      </w:r>
      <w:r>
        <w:rPr>
          <w:lang w:eastAsia="zh-CN"/>
        </w:rPr>
        <w:tab/>
      </w:r>
      <w:r>
        <w:rPr>
          <w:lang w:eastAsia="zh-CN"/>
        </w:rPr>
        <w:t>Proposal</w:t>
      </w:r>
    </w:p>
    <w:p>
      <w:pPr>
        <w:rPr>
          <w:lang w:eastAsia="zh-CN"/>
        </w:rPr>
      </w:pPr>
      <w:r>
        <w:rPr>
          <w:rFonts w:hint="eastAsia"/>
          <w:lang w:eastAsia="zh-CN"/>
        </w:rPr>
        <w:t>I</w:t>
      </w:r>
      <w:r>
        <w:rPr>
          <w:lang w:eastAsia="zh-CN"/>
        </w:rPr>
        <w:t>t proposes to remove the definition of non-IP PDU format in TS</w:t>
      </w:r>
      <w:r>
        <w:rPr>
          <w:lang w:val="en-US" w:eastAsia="zh-CN"/>
        </w:rPr>
        <w:t> 24.554. The corresponding CR is C1-22</w:t>
      </w:r>
      <w:r>
        <w:rPr>
          <w:rFonts w:hint="eastAsia"/>
          <w:lang w:val="en-US" w:eastAsia="zh-CN"/>
        </w:rPr>
        <w:t>4832</w:t>
      </w:r>
      <w:bookmarkStart w:id="2" w:name="_GoBack"/>
      <w:bookmarkEnd w:id="2"/>
      <w:r>
        <w:rPr>
          <w:lang w:val="en-US" w:eastAsia="zh-CN"/>
        </w:rPr>
        <w:t>.</w:t>
      </w:r>
    </w:p>
    <w:sectPr>
      <w:pgSz w:w="11907" w:h="16840"/>
      <w:pgMar w:top="1134" w:right="1021" w:bottom="1287"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1181F"/>
    <w:rsid w:val="0001570A"/>
    <w:rsid w:val="0002191A"/>
    <w:rsid w:val="00022E73"/>
    <w:rsid w:val="000262A8"/>
    <w:rsid w:val="00030CD4"/>
    <w:rsid w:val="00031B1A"/>
    <w:rsid w:val="00043500"/>
    <w:rsid w:val="00046686"/>
    <w:rsid w:val="00046FDD"/>
    <w:rsid w:val="00050925"/>
    <w:rsid w:val="00054884"/>
    <w:rsid w:val="00057E1E"/>
    <w:rsid w:val="00072A7C"/>
    <w:rsid w:val="000775E7"/>
    <w:rsid w:val="0007775C"/>
    <w:rsid w:val="00094F23"/>
    <w:rsid w:val="000967F4"/>
    <w:rsid w:val="000C5C49"/>
    <w:rsid w:val="000D6D78"/>
    <w:rsid w:val="000D7557"/>
    <w:rsid w:val="000E0429"/>
    <w:rsid w:val="000E6584"/>
    <w:rsid w:val="000F6E51"/>
    <w:rsid w:val="00102A24"/>
    <w:rsid w:val="001259F1"/>
    <w:rsid w:val="0013259C"/>
    <w:rsid w:val="00135831"/>
    <w:rsid w:val="001376A6"/>
    <w:rsid w:val="00137DEB"/>
    <w:rsid w:val="001424CD"/>
    <w:rsid w:val="0014413C"/>
    <w:rsid w:val="0014589B"/>
    <w:rsid w:val="00157BF8"/>
    <w:rsid w:val="00163D28"/>
    <w:rsid w:val="00166A1B"/>
    <w:rsid w:val="00180924"/>
    <w:rsid w:val="00192B41"/>
    <w:rsid w:val="00197E4A"/>
    <w:rsid w:val="001A31EF"/>
    <w:rsid w:val="001A4C2F"/>
    <w:rsid w:val="001B01F1"/>
    <w:rsid w:val="001B1713"/>
    <w:rsid w:val="001B2414"/>
    <w:rsid w:val="001B5421"/>
    <w:rsid w:val="001B650D"/>
    <w:rsid w:val="001B738B"/>
    <w:rsid w:val="001C2A28"/>
    <w:rsid w:val="001D0B09"/>
    <w:rsid w:val="001D1A08"/>
    <w:rsid w:val="001E5794"/>
    <w:rsid w:val="001E6729"/>
    <w:rsid w:val="001F243E"/>
    <w:rsid w:val="001F5095"/>
    <w:rsid w:val="002070CB"/>
    <w:rsid w:val="002336BF"/>
    <w:rsid w:val="00235F9B"/>
    <w:rsid w:val="00236BBA"/>
    <w:rsid w:val="00236D1F"/>
    <w:rsid w:val="002407FF"/>
    <w:rsid w:val="00250F58"/>
    <w:rsid w:val="002541D3"/>
    <w:rsid w:val="00256429"/>
    <w:rsid w:val="0026253E"/>
    <w:rsid w:val="00272D61"/>
    <w:rsid w:val="002919B7"/>
    <w:rsid w:val="0029418A"/>
    <w:rsid w:val="00295D61"/>
    <w:rsid w:val="002B074C"/>
    <w:rsid w:val="002B2FE7"/>
    <w:rsid w:val="002B3228"/>
    <w:rsid w:val="002B34EA"/>
    <w:rsid w:val="002B5361"/>
    <w:rsid w:val="002C1BA4"/>
    <w:rsid w:val="002C47B8"/>
    <w:rsid w:val="002D4B6E"/>
    <w:rsid w:val="002D771E"/>
    <w:rsid w:val="002E397B"/>
    <w:rsid w:val="002E3AE2"/>
    <w:rsid w:val="002F7CCB"/>
    <w:rsid w:val="00302C52"/>
    <w:rsid w:val="00310E70"/>
    <w:rsid w:val="00313650"/>
    <w:rsid w:val="00313F3E"/>
    <w:rsid w:val="00320536"/>
    <w:rsid w:val="00325E33"/>
    <w:rsid w:val="003275E6"/>
    <w:rsid w:val="00330E6D"/>
    <w:rsid w:val="00352198"/>
    <w:rsid w:val="00354553"/>
    <w:rsid w:val="00372489"/>
    <w:rsid w:val="00392C87"/>
    <w:rsid w:val="003A5FFA"/>
    <w:rsid w:val="003A67E1"/>
    <w:rsid w:val="003B29AA"/>
    <w:rsid w:val="003D278B"/>
    <w:rsid w:val="003D4593"/>
    <w:rsid w:val="003E0986"/>
    <w:rsid w:val="003E2C8B"/>
    <w:rsid w:val="003E710B"/>
    <w:rsid w:val="003F1C0E"/>
    <w:rsid w:val="004008D7"/>
    <w:rsid w:val="0040145D"/>
    <w:rsid w:val="00411339"/>
    <w:rsid w:val="004131BD"/>
    <w:rsid w:val="00416CEA"/>
    <w:rsid w:val="00421AFD"/>
    <w:rsid w:val="00432048"/>
    <w:rsid w:val="00442439"/>
    <w:rsid w:val="004518DB"/>
    <w:rsid w:val="0045572A"/>
    <w:rsid w:val="00460DBD"/>
    <w:rsid w:val="004726C5"/>
    <w:rsid w:val="00477EBC"/>
    <w:rsid w:val="004A0A73"/>
    <w:rsid w:val="004A661C"/>
    <w:rsid w:val="004A67B3"/>
    <w:rsid w:val="004B5EF1"/>
    <w:rsid w:val="004C481F"/>
    <w:rsid w:val="004C4C9B"/>
    <w:rsid w:val="004C7255"/>
    <w:rsid w:val="004D2FA0"/>
    <w:rsid w:val="004D6D84"/>
    <w:rsid w:val="004E1010"/>
    <w:rsid w:val="0050202A"/>
    <w:rsid w:val="0052032E"/>
    <w:rsid w:val="005220FF"/>
    <w:rsid w:val="00544D8F"/>
    <w:rsid w:val="00553BDE"/>
    <w:rsid w:val="00553E13"/>
    <w:rsid w:val="005547C0"/>
    <w:rsid w:val="0055738F"/>
    <w:rsid w:val="00562495"/>
    <w:rsid w:val="00577727"/>
    <w:rsid w:val="005777AF"/>
    <w:rsid w:val="00586562"/>
    <w:rsid w:val="00593DC4"/>
    <w:rsid w:val="0059529B"/>
    <w:rsid w:val="005A3249"/>
    <w:rsid w:val="005A6ABC"/>
    <w:rsid w:val="005B1577"/>
    <w:rsid w:val="005C0CC6"/>
    <w:rsid w:val="005C0FFC"/>
    <w:rsid w:val="005C3F71"/>
    <w:rsid w:val="005C7352"/>
    <w:rsid w:val="005D1D6C"/>
    <w:rsid w:val="005D1F7E"/>
    <w:rsid w:val="005D2738"/>
    <w:rsid w:val="005E7235"/>
    <w:rsid w:val="005F041C"/>
    <w:rsid w:val="005F3A3B"/>
    <w:rsid w:val="005F4B34"/>
    <w:rsid w:val="00616E18"/>
    <w:rsid w:val="00623AED"/>
    <w:rsid w:val="00632157"/>
    <w:rsid w:val="00633971"/>
    <w:rsid w:val="0064121E"/>
    <w:rsid w:val="00660354"/>
    <w:rsid w:val="00665B9B"/>
    <w:rsid w:val="00682FD2"/>
    <w:rsid w:val="0069468F"/>
    <w:rsid w:val="006A01E2"/>
    <w:rsid w:val="006B670A"/>
    <w:rsid w:val="006C1BE2"/>
    <w:rsid w:val="006D3D54"/>
    <w:rsid w:val="006D40A0"/>
    <w:rsid w:val="006D4D5F"/>
    <w:rsid w:val="006E1A49"/>
    <w:rsid w:val="006F1B00"/>
    <w:rsid w:val="006F4B7A"/>
    <w:rsid w:val="006F7727"/>
    <w:rsid w:val="00700701"/>
    <w:rsid w:val="00700A59"/>
    <w:rsid w:val="00710142"/>
    <w:rsid w:val="00712E81"/>
    <w:rsid w:val="00723919"/>
    <w:rsid w:val="00724A62"/>
    <w:rsid w:val="007261D3"/>
    <w:rsid w:val="00735C31"/>
    <w:rsid w:val="00741D66"/>
    <w:rsid w:val="0074596C"/>
    <w:rsid w:val="00762474"/>
    <w:rsid w:val="007805EF"/>
    <w:rsid w:val="007814A8"/>
    <w:rsid w:val="00781A62"/>
    <w:rsid w:val="00783C0E"/>
    <w:rsid w:val="00787383"/>
    <w:rsid w:val="00791B51"/>
    <w:rsid w:val="00795AD1"/>
    <w:rsid w:val="007B5456"/>
    <w:rsid w:val="007B5F65"/>
    <w:rsid w:val="007D0B8C"/>
    <w:rsid w:val="007D3C7C"/>
    <w:rsid w:val="007F59BC"/>
    <w:rsid w:val="007F6574"/>
    <w:rsid w:val="008133AE"/>
    <w:rsid w:val="008258C2"/>
    <w:rsid w:val="00827D64"/>
    <w:rsid w:val="00850C73"/>
    <w:rsid w:val="00850CD4"/>
    <w:rsid w:val="00854A49"/>
    <w:rsid w:val="008A06BE"/>
    <w:rsid w:val="008A56FD"/>
    <w:rsid w:val="008D3DA6"/>
    <w:rsid w:val="008F7444"/>
    <w:rsid w:val="00902A38"/>
    <w:rsid w:val="0091399A"/>
    <w:rsid w:val="00926791"/>
    <w:rsid w:val="0093661C"/>
    <w:rsid w:val="00940736"/>
    <w:rsid w:val="00950CF7"/>
    <w:rsid w:val="00960A44"/>
    <w:rsid w:val="009768C3"/>
    <w:rsid w:val="00977C43"/>
    <w:rsid w:val="00990AD3"/>
    <w:rsid w:val="00990EEE"/>
    <w:rsid w:val="00996533"/>
    <w:rsid w:val="009A3833"/>
    <w:rsid w:val="009A5F57"/>
    <w:rsid w:val="009A62E2"/>
    <w:rsid w:val="009B110B"/>
    <w:rsid w:val="009B13F0"/>
    <w:rsid w:val="009B196A"/>
    <w:rsid w:val="009D6D9F"/>
    <w:rsid w:val="009E1910"/>
    <w:rsid w:val="009E5DBA"/>
    <w:rsid w:val="009F1B7A"/>
    <w:rsid w:val="009F6047"/>
    <w:rsid w:val="00A03D2A"/>
    <w:rsid w:val="00A10ADB"/>
    <w:rsid w:val="00A144AB"/>
    <w:rsid w:val="00A151A1"/>
    <w:rsid w:val="00A17F01"/>
    <w:rsid w:val="00A24557"/>
    <w:rsid w:val="00A248B2"/>
    <w:rsid w:val="00A27A64"/>
    <w:rsid w:val="00A27DDA"/>
    <w:rsid w:val="00A37F80"/>
    <w:rsid w:val="00A46B3F"/>
    <w:rsid w:val="00A46F30"/>
    <w:rsid w:val="00A61169"/>
    <w:rsid w:val="00A63024"/>
    <w:rsid w:val="00A657E6"/>
    <w:rsid w:val="00A82FCC"/>
    <w:rsid w:val="00A843E3"/>
    <w:rsid w:val="00A906A4"/>
    <w:rsid w:val="00AA2A0B"/>
    <w:rsid w:val="00AA574E"/>
    <w:rsid w:val="00AD324E"/>
    <w:rsid w:val="00AD5B51"/>
    <w:rsid w:val="00AD7B78"/>
    <w:rsid w:val="00AE5113"/>
    <w:rsid w:val="00AF4118"/>
    <w:rsid w:val="00B219A8"/>
    <w:rsid w:val="00B3526C"/>
    <w:rsid w:val="00B47534"/>
    <w:rsid w:val="00B57F16"/>
    <w:rsid w:val="00B84B54"/>
    <w:rsid w:val="00B92C7D"/>
    <w:rsid w:val="00B93BB2"/>
    <w:rsid w:val="00B9697B"/>
    <w:rsid w:val="00BA46C7"/>
    <w:rsid w:val="00BA4DA4"/>
    <w:rsid w:val="00BB3F04"/>
    <w:rsid w:val="00BB7B45"/>
    <w:rsid w:val="00BC2E5F"/>
    <w:rsid w:val="00BC481E"/>
    <w:rsid w:val="00BC5AF6"/>
    <w:rsid w:val="00BC70C8"/>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73BCB"/>
    <w:rsid w:val="00CA5DB0"/>
    <w:rsid w:val="00CB2EA4"/>
    <w:rsid w:val="00CB4105"/>
    <w:rsid w:val="00CB6108"/>
    <w:rsid w:val="00CC58ED"/>
    <w:rsid w:val="00CD329C"/>
    <w:rsid w:val="00CE0F7C"/>
    <w:rsid w:val="00D02A1D"/>
    <w:rsid w:val="00D145EC"/>
    <w:rsid w:val="00D43C0B"/>
    <w:rsid w:val="00D44A74"/>
    <w:rsid w:val="00D57CD2"/>
    <w:rsid w:val="00D57E66"/>
    <w:rsid w:val="00D73350"/>
    <w:rsid w:val="00D82231"/>
    <w:rsid w:val="00D8756E"/>
    <w:rsid w:val="00D938DD"/>
    <w:rsid w:val="00D974EA"/>
    <w:rsid w:val="00DA0473"/>
    <w:rsid w:val="00DA5AEF"/>
    <w:rsid w:val="00DB7E04"/>
    <w:rsid w:val="00DC0F52"/>
    <w:rsid w:val="00DC4726"/>
    <w:rsid w:val="00DD0D7E"/>
    <w:rsid w:val="00DD40D2"/>
    <w:rsid w:val="00DE5BBF"/>
    <w:rsid w:val="00DF2572"/>
    <w:rsid w:val="00E03A99"/>
    <w:rsid w:val="00E041CD"/>
    <w:rsid w:val="00E0717A"/>
    <w:rsid w:val="00E1463F"/>
    <w:rsid w:val="00E3403D"/>
    <w:rsid w:val="00E363A9"/>
    <w:rsid w:val="00E37BF6"/>
    <w:rsid w:val="00E413E0"/>
    <w:rsid w:val="00E5042E"/>
    <w:rsid w:val="00E53AE3"/>
    <w:rsid w:val="00E5574A"/>
    <w:rsid w:val="00E610B9"/>
    <w:rsid w:val="00E64FB2"/>
    <w:rsid w:val="00E81E2C"/>
    <w:rsid w:val="00EB5D2F"/>
    <w:rsid w:val="00EC10EC"/>
    <w:rsid w:val="00ED6080"/>
    <w:rsid w:val="00EE0176"/>
    <w:rsid w:val="00EE4558"/>
    <w:rsid w:val="00EF0942"/>
    <w:rsid w:val="00EF291F"/>
    <w:rsid w:val="00F0218C"/>
    <w:rsid w:val="00F0393B"/>
    <w:rsid w:val="00F1342A"/>
    <w:rsid w:val="00F313DD"/>
    <w:rsid w:val="00F378BE"/>
    <w:rsid w:val="00F43120"/>
    <w:rsid w:val="00F763A4"/>
    <w:rsid w:val="00F81CF2"/>
    <w:rsid w:val="00F87FD2"/>
    <w:rsid w:val="00F941B8"/>
    <w:rsid w:val="00F97AF3"/>
    <w:rsid w:val="00FA0278"/>
    <w:rsid w:val="00FA5FA5"/>
    <w:rsid w:val="00FA79A7"/>
    <w:rsid w:val="00FC643D"/>
    <w:rsid w:val="00FD1DAF"/>
    <w:rsid w:val="00FD2275"/>
    <w:rsid w:val="00FD78BB"/>
    <w:rsid w:val="00FE3DCC"/>
    <w:rsid w:val="00FE53C8"/>
    <w:rsid w:val="00FE5FB7"/>
    <w:rsid w:val="40F864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character" w:default="1" w:styleId="12">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7">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8">
    <w:name w:val="footer"/>
    <w:basedOn w:val="1"/>
    <w:uiPriority w:val="0"/>
    <w:pPr>
      <w:tabs>
        <w:tab w:val="center" w:pos="4153"/>
        <w:tab w:val="right" w:pos="8306"/>
      </w:tabs>
    </w:pPr>
  </w:style>
  <w:style w:type="paragraph" w:styleId="9">
    <w:name w:val="header"/>
    <w:basedOn w:val="1"/>
    <w:link w:val="19"/>
    <w:uiPriority w:val="0"/>
    <w:pPr>
      <w:tabs>
        <w:tab w:val="center" w:pos="4153"/>
        <w:tab w:val="right" w:pos="8306"/>
      </w:tabs>
    </w:pPr>
  </w:style>
  <w:style w:type="paragraph" w:styleId="10">
    <w:name w:val="index 1"/>
    <w:basedOn w:val="1"/>
    <w:next w:val="1"/>
    <w:semiHidden/>
    <w:qFormat/>
    <w:uiPriority w:val="0"/>
    <w:pPr>
      <w:keepLines/>
    </w:pPr>
  </w:style>
  <w:style w:type="character" w:styleId="13">
    <w:name w:val="page number"/>
    <w:basedOn w:val="12"/>
    <w:uiPriority w:val="0"/>
  </w:style>
  <w:style w:type="paragraph" w:customStyle="1" w:styleId="14">
    <w:name w:val="B1"/>
    <w:basedOn w:val="1"/>
    <w:uiPriority w:val="0"/>
    <w:pPr>
      <w:ind w:left="567" w:hanging="567"/>
      <w:jc w:val="both"/>
    </w:pPr>
    <w:rPr>
      <w:rFonts w:ascii="Arial" w:hAnsi="Arial"/>
    </w:rPr>
  </w:style>
  <w:style w:type="paragraph" w:customStyle="1" w:styleId="15">
    <w:name w:val="00 BodyText"/>
    <w:basedOn w:val="1"/>
    <w:uiPriority w:val="0"/>
    <w:pPr>
      <w:spacing w:after="220"/>
    </w:pPr>
    <w:rPr>
      <w:rFonts w:ascii="Arial" w:hAnsi="Arial"/>
      <w:sz w:val="22"/>
      <w:lang w:val="en-US"/>
    </w:rPr>
  </w:style>
  <w:style w:type="paragraph" w:customStyle="1" w:styleId="16">
    <w:name w:val="??"/>
    <w:uiPriority w:val="0"/>
    <w:pPr>
      <w:widowControl w:val="0"/>
    </w:pPr>
    <w:rPr>
      <w:rFonts w:ascii="Times New Roman" w:hAnsi="Times New Roman" w:eastAsia="等线" w:cs="Times New Roman"/>
      <w:lang w:val="en-US" w:eastAsia="en-US" w:bidi="ar-SA"/>
    </w:rPr>
  </w:style>
  <w:style w:type="paragraph" w:customStyle="1" w:styleId="17">
    <w:name w:val="??? 2"/>
    <w:basedOn w:val="16"/>
    <w:next w:val="16"/>
    <w:uiPriority w:val="0"/>
    <w:pPr>
      <w:keepNext/>
    </w:pPr>
    <w:rPr>
      <w:rFonts w:ascii="Arial" w:hAnsi="Arial"/>
      <w:b/>
      <w:sz w:val="24"/>
    </w:rPr>
  </w:style>
  <w:style w:type="paragraph" w:customStyle="1" w:styleId="18">
    <w:name w:val="CR Cover Page"/>
    <w:uiPriority w:val="0"/>
    <w:pPr>
      <w:spacing w:after="120"/>
    </w:pPr>
    <w:rPr>
      <w:rFonts w:ascii="Arial" w:hAnsi="Arial" w:eastAsia="等线" w:cs="Times New Roman"/>
      <w:lang w:val="en-GB" w:eastAsia="en-US" w:bidi="ar-SA"/>
    </w:rPr>
  </w:style>
  <w:style w:type="character" w:customStyle="1" w:styleId="19">
    <w:name w:val="页眉 Char"/>
    <w:link w:val="9"/>
    <w:uiPriority w:val="0"/>
    <w:rPr>
      <w:lang w:eastAsia="en-US"/>
    </w:rPr>
  </w:style>
  <w:style w:type="paragraph" w:customStyle="1" w:styleId="20">
    <w:name w:val="NF"/>
    <w:basedOn w:val="1"/>
    <w:uiPriority w:val="0"/>
    <w:pPr>
      <w:keepNext/>
      <w:keepLines/>
      <w:ind w:left="1135" w:hanging="851"/>
    </w:pPr>
    <w:rPr>
      <w:rFonts w:ascii="Arial" w:hAnsi="Arial"/>
      <w:sz w:val="18"/>
    </w:rPr>
  </w:style>
  <w:style w:type="paragraph" w:customStyle="1" w:styleId="21">
    <w:name w:val="TH"/>
    <w:basedOn w:val="1"/>
    <w:link w:val="23"/>
    <w:qFormat/>
    <w:uiPriority w:val="0"/>
    <w:pPr>
      <w:keepNext/>
      <w:keepLines/>
      <w:spacing w:before="60" w:after="180"/>
      <w:jc w:val="center"/>
    </w:pPr>
    <w:rPr>
      <w:rFonts w:ascii="Arial" w:hAnsi="Arial"/>
      <w:b/>
    </w:rPr>
  </w:style>
  <w:style w:type="paragraph" w:customStyle="1" w:styleId="22">
    <w:name w:val="TF"/>
    <w:basedOn w:val="21"/>
    <w:link w:val="24"/>
    <w:qFormat/>
    <w:uiPriority w:val="0"/>
    <w:pPr>
      <w:keepNext w:val="0"/>
      <w:spacing w:before="0" w:after="240"/>
    </w:pPr>
  </w:style>
  <w:style w:type="character" w:customStyle="1" w:styleId="23">
    <w:name w:val="TH Char"/>
    <w:link w:val="21"/>
    <w:qFormat/>
    <w:uiPriority w:val="0"/>
    <w:rPr>
      <w:rFonts w:ascii="Arial" w:hAnsi="Arial"/>
      <w:b/>
      <w:lang w:eastAsia="en-US"/>
    </w:rPr>
  </w:style>
  <w:style w:type="character" w:customStyle="1" w:styleId="24">
    <w:name w:val="TF Char"/>
    <w:link w:val="22"/>
    <w:qFormat/>
    <w:uiPriority w:val="0"/>
    <w:rPr>
      <w:rFonts w:ascii="Arial" w:hAnsi="Arial"/>
      <w:b/>
      <w:lang w:eastAsia="en-US"/>
    </w:rPr>
  </w:style>
  <w:style w:type="paragraph" w:customStyle="1" w:styleId="25">
    <w:name w:val="TAH"/>
    <w:basedOn w:val="26"/>
    <w:link w:val="28"/>
    <w:uiPriority w:val="0"/>
    <w:rPr>
      <w:b/>
    </w:rPr>
  </w:style>
  <w:style w:type="paragraph" w:customStyle="1" w:styleId="26">
    <w:name w:val="TAC"/>
    <w:basedOn w:val="1"/>
    <w:link w:val="27"/>
    <w:uiPriority w:val="0"/>
    <w:pPr>
      <w:keepNext/>
      <w:keepLines/>
      <w:overflowPunct w:val="0"/>
      <w:autoSpaceDE w:val="0"/>
      <w:autoSpaceDN w:val="0"/>
      <w:adjustRightInd w:val="0"/>
      <w:jc w:val="center"/>
      <w:textAlignment w:val="baseline"/>
    </w:pPr>
    <w:rPr>
      <w:rFonts w:ascii="Arial" w:hAnsi="Arial" w:eastAsia="Times New Roman"/>
      <w:sz w:val="18"/>
      <w:lang w:eastAsia="en-GB"/>
    </w:rPr>
  </w:style>
  <w:style w:type="character" w:customStyle="1" w:styleId="27">
    <w:name w:val="TAC Char"/>
    <w:link w:val="26"/>
    <w:locked/>
    <w:uiPriority w:val="0"/>
    <w:rPr>
      <w:rFonts w:ascii="Arial" w:hAnsi="Arial" w:eastAsia="Times New Roman"/>
      <w:sz w:val="18"/>
      <w:lang w:val="en-GB" w:eastAsia="en-GB"/>
    </w:rPr>
  </w:style>
  <w:style w:type="character" w:customStyle="1" w:styleId="28">
    <w:name w:val="TAH Car"/>
    <w:link w:val="25"/>
    <w:locked/>
    <w:uiPriority w:val="0"/>
    <w:rPr>
      <w:rFonts w:ascii="Arial" w:hAnsi="Arial" w:eastAsia="Times New Roman"/>
      <w:b/>
      <w:sz w:val="18"/>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image" Target="media/image2.emf"/><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package" Target="embeddings/Document1.docx"/><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721</Words>
  <Characters>4116</Characters>
  <Lines>34</Lines>
  <Paragraphs>9</Paragraphs>
  <TotalTime>515</TotalTime>
  <ScaleCrop>false</ScaleCrop>
  <LinksUpToDate>false</LinksUpToDate>
  <CharactersWithSpaces>4828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2019-01-14T13:29:00Z</dcterms:created>
  <dc:creator>David Boswarthick</dc:creator>
  <cp:lastModifiedBy>Zhou</cp:lastModifiedBy>
  <cp:lastPrinted>2001-04-23T09:30:00Z</cp:lastPrinted>
  <dcterms:modified xsi:type="dcterms:W3CDTF">2022-08-11T04:54:56Z</dcterms:modified>
  <dc:title>Source:</dc:title>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